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color w:val="C9211E"/>
          <w:sz w:val="40"/>
          <w:szCs w:val="40"/>
        </w:rPr>
      </w:pPr>
      <w:r>
        <w:rPr>
          <w:color w:val="C9211E"/>
          <w:sz w:val="40"/>
          <w:szCs w:val="40"/>
        </w:rPr>
        <w:t>SVEOBUHVATNI SPOLNI ODGOJ:</w:t>
      </w:r>
    </w:p>
    <w:p>
      <w:pPr>
        <w:pStyle w:val="Normal"/>
        <w:bidi w:val="0"/>
        <w:jc w:val="center"/>
        <w:rPr>
          <w:color w:val="C9211E"/>
          <w:sz w:val="40"/>
          <w:szCs w:val="40"/>
        </w:rPr>
      </w:pPr>
      <w:r>
        <w:rPr>
          <w:color w:val="C9211E"/>
          <w:sz w:val="40"/>
          <w:szCs w:val="40"/>
        </w:rPr>
        <w:t>ŠTETNI UTJECAJ NA DJECU</w:t>
      </w:r>
    </w:p>
    <w:p>
      <w:pPr>
        <w:pStyle w:val="Normal"/>
        <w:bidi w:val="0"/>
        <w:jc w:val="center"/>
        <w:rPr>
          <w:sz w:val="28"/>
          <w:szCs w:val="28"/>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247205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6120130" cy="2472055"/>
                    </a:xfrm>
                    <a:prstGeom prst="rect">
                      <a:avLst/>
                    </a:prstGeom>
                  </pic:spPr>
                </pic:pic>
              </a:graphicData>
            </a:graphic>
          </wp:anchor>
        </w:drawing>
      </w:r>
      <w:r>
        <w:rPr>
          <w:rFonts w:cs="Calibri"/>
          <w:b/>
          <w:smallCaps/>
          <w:sz w:val="28"/>
          <w:szCs w:val="28"/>
        </w:rPr>
        <w:t>1. Seksualizira djecu</w:t>
      </w:r>
    </w:p>
    <w:p>
      <w:pPr>
        <w:pStyle w:val="Normal"/>
        <w:bidi w:val="0"/>
        <w:spacing w:before="0" w:after="160"/>
        <w:jc w:val="start"/>
        <w:rPr>
          <w:rFonts w:cs="Calibri"/>
          <w:sz w:val="24"/>
          <w:szCs w:val="24"/>
        </w:rPr>
      </w:pPr>
      <w:r>
        <w:rPr>
          <w:rFonts w:cs="Calibri"/>
          <w:i w:val="false"/>
          <w:iCs w:val="false"/>
          <w:sz w:val="24"/>
          <w:szCs w:val="24"/>
        </w:rPr>
        <w:t>Normalizira dječji seks ili desenzibilizira djecu na seksualne stvari. Može navoditi primjere djece koja imaju spolne odnose ili implicirati da su mnogi njihovi vršnjaci seksualno aktivni. Može veličati seks, koristiti grafičke materijale, podučavati eksplicitni seksualni vokabular ili poticati raspravu o seksualnim iskustvima, privlačnostima, fantazijama ili željama.</w:t>
      </w:r>
    </w:p>
    <w:p>
      <w:pPr>
        <w:pStyle w:val="Normal"/>
        <w:bidi w:val="0"/>
        <w:spacing w:lineRule="auto" w:line="240"/>
        <w:jc w:val="center"/>
        <w:rPr/>
      </w:pPr>
      <w:r>
        <w:rPr>
          <w:rFonts w:cs="Calibri"/>
          <w:b/>
          <w:smallCaps/>
          <w:sz w:val="28"/>
          <w:szCs w:val="28"/>
        </w:rPr>
        <w:t>2. Uči Djecu na Seksualni Pristanak</w:t>
      </w:r>
    </w:p>
    <w:p>
      <w:pPr>
        <w:pStyle w:val="Normal"/>
        <w:bidi w:val="0"/>
        <w:jc w:val="start"/>
        <w:rPr/>
      </w:pPr>
      <w:r>
        <w:rPr>
          <w:rFonts w:cs="Calibri"/>
          <w:i w:val="false"/>
          <w:iCs w:val="false"/>
          <w:color w:val="222222"/>
          <w:sz w:val="24"/>
          <w:szCs w:val="24"/>
          <w:shd w:fill="FFFFFF" w:val="clear"/>
        </w:rPr>
        <w:t>M</w:t>
      </w:r>
      <w:r>
        <w:rPr>
          <w:rFonts w:cs="Calibri"/>
          <w:i w:val="false"/>
          <w:iCs w:val="false"/>
          <w:color w:val="222222"/>
          <w:sz w:val="24"/>
          <w:szCs w:val="24"/>
          <w:shd w:fill="FFFFFF" w:val="clear"/>
          <w:lang w:val="hr-HR"/>
        </w:rPr>
        <w:t>ože naučiti djecu kako pregovarati o seksualnim susretima ili kako tražiti ili dobiti „pristanak“ od druge djece za sudjelovanje u seksualnim činovima s njima.</w:t>
      </w:r>
    </w:p>
    <w:p>
      <w:pPr>
        <w:pStyle w:val="Normal"/>
        <w:bidi w:val="0"/>
        <w:spacing w:before="0" w:after="160"/>
        <w:jc w:val="start"/>
        <w:rPr/>
      </w:pPr>
      <w:r>
        <w:rPr>
          <w:rFonts w:cs="Calibri"/>
          <w:i w:val="false"/>
          <w:iCs w:val="false"/>
          <w:color w:val="222222"/>
          <w:sz w:val="24"/>
          <w:szCs w:val="24"/>
          <w:shd w:fill="FFFFFF" w:val="clear"/>
          <w:lang w:val="hr-HR"/>
        </w:rPr>
        <w:t>Napomena: „Pristanak“ se često uči pod zastavom sprječavanja seksualnog zlostavljanja. Iako to može biti prikladno za odrasle, maloljetnu djecu nikada ne treba poticati da „pristanu“ na seks.</w:t>
      </w:r>
      <w:r>
        <w:rPr>
          <w:rFonts w:cs="Calibri"/>
          <w:i w:val="false"/>
          <w:iCs w:val="false"/>
          <w:smallCaps/>
          <w:color w:val="222222"/>
          <w:sz w:val="24"/>
          <w:szCs w:val="24"/>
          <w:shd w:fill="FFFFFF" w:val="clear"/>
          <w:lang w:val="hr-HR"/>
        </w:rPr>
        <w:t xml:space="preserve"> </w:t>
      </w:r>
    </w:p>
    <w:p>
      <w:pPr>
        <w:pStyle w:val="Normal"/>
        <w:bidi w:val="0"/>
        <w:spacing w:lineRule="auto" w:line="240"/>
        <w:jc w:val="center"/>
        <w:rPr/>
      </w:pPr>
      <w:r>
        <w:rPr>
          <w:rFonts w:cs="Calibri"/>
          <w:b/>
          <w:smallCaps/>
          <w:sz w:val="28"/>
          <w:szCs w:val="28"/>
        </w:rPr>
        <w:t>3. Potiče Analni i Oralni Seks</w:t>
      </w:r>
    </w:p>
    <w:p>
      <w:pPr>
        <w:pStyle w:val="Normal"/>
        <w:bidi w:val="0"/>
        <w:spacing w:before="0" w:after="160"/>
        <w:jc w:val="start"/>
        <w:rPr>
          <w:color w:val="222222"/>
          <w:sz w:val="24"/>
          <w:szCs w:val="24"/>
        </w:rPr>
      </w:pPr>
      <w:r>
        <w:rPr>
          <w:rFonts w:cs="Calibri"/>
          <w:i w:val="false"/>
          <w:iCs w:val="false"/>
          <w:color w:val="222222"/>
          <w:sz w:val="24"/>
          <w:szCs w:val="24"/>
          <w:shd w:fill="FFFFFF" w:val="clear"/>
        </w:rPr>
        <w:t>Normalizira ova visokorizična seksualna ponašanja i može izostaviti važne medicinske činjenice, poput izuzetno visokih stopa spolno prenosivih infekcija (tj. HIV-a i HPV-a) te stopa oralnog i analnog raka kod ovih visokorizičnih seksualnih odnosa.</w:t>
      </w:r>
    </w:p>
    <w:p>
      <w:pPr>
        <w:pStyle w:val="Normal"/>
        <w:bidi w:val="0"/>
        <w:spacing w:lineRule="auto" w:line="240"/>
        <w:jc w:val="center"/>
        <w:rPr/>
      </w:pPr>
      <w:r>
        <w:rPr>
          <w:b/>
          <w:smallCaps/>
          <w:sz w:val="28"/>
          <w:szCs w:val="28"/>
        </w:rPr>
        <w:t>4. Promiče Homoseksualno/Biseksualno Ponašanje</w:t>
      </w:r>
    </w:p>
    <w:p>
      <w:pPr>
        <w:pStyle w:val="Normal"/>
        <w:widowControl/>
        <w:bidi w:val="0"/>
        <w:spacing w:lineRule="auto" w:line="252" w:before="0" w:after="160"/>
        <w:rPr/>
      </w:pPr>
      <w:r>
        <w:rPr>
          <w:rFonts w:cs="Calibri"/>
          <w:i w:val="false"/>
          <w:iCs w:val="false"/>
          <w:color w:val="222222"/>
          <w:sz w:val="24"/>
          <w:szCs w:val="24"/>
          <w:shd w:fill="FFFFFF" w:val="clear"/>
        </w:rPr>
        <w:t>Normalizira ili promiče prihvaćanje ili istraživanje različitih seksualnih orijentacija, ponekad kršeći državne zakone o obrazovanju. Može izostaviti važne zdravstvene informacije i/ili može pružiti medicinski netočne informacije o homoseksualnosti ili homoseksualnom seksu.</w:t>
      </w:r>
    </w:p>
    <w:p>
      <w:pPr>
        <w:pStyle w:val="Normal"/>
        <w:bidi w:val="0"/>
        <w:jc w:val="center"/>
        <w:rPr/>
      </w:pPr>
      <w:r>
        <w:rPr>
          <w:b/>
          <w:smallCaps/>
          <w:sz w:val="28"/>
          <w:szCs w:val="28"/>
        </w:rPr>
        <w:t>5. Potiče Seksualno zadovoljstvo</w:t>
      </w:r>
    </w:p>
    <w:p>
      <w:pPr>
        <w:pStyle w:val="Normal"/>
        <w:widowControl/>
        <w:bidi w:val="0"/>
        <w:spacing w:lineRule="auto" w:line="252" w:before="0" w:after="160"/>
        <w:rPr/>
      </w:pPr>
      <w:r>
        <w:rPr>
          <w:rFonts w:cs="Calibri"/>
          <w:i w:val="false"/>
          <w:iCs w:val="false"/>
          <w:color w:val="222222"/>
          <w:sz w:val="24"/>
          <w:szCs w:val="24"/>
          <w:shd w:fill="FFFFFF" w:val="clear"/>
        </w:rPr>
        <w:t>Uči djecu da imaju pravo na seksualno zadovoljstvo ili potiče djecu da traže seksualno zadovoljstvo. Ne prikazuje podatke o višestrukim negativnim potencijalnim ishodima za seksualno aktivnu djecu.</w:t>
      </w:r>
    </w:p>
    <w:p>
      <w:pPr>
        <w:pStyle w:val="Normal"/>
        <w:bidi w:val="0"/>
        <w:spacing w:lineRule="auto" w:line="240"/>
        <w:jc w:val="center"/>
        <w:rPr/>
      </w:pPr>
      <w:r>
        <w:rPr>
          <w:b/>
          <w:smallCaps/>
          <w:sz w:val="28"/>
          <w:szCs w:val="28"/>
        </w:rPr>
        <w:t>6. Potiče Solo i/ili Obostranu Masturbaciju</w:t>
      </w:r>
    </w:p>
    <w:p>
      <w:pPr>
        <w:pStyle w:val="Normal"/>
        <w:bidi w:val="0"/>
        <w:spacing w:before="0" w:after="160"/>
        <w:jc w:val="start"/>
        <w:rPr/>
      </w:pPr>
      <w:r>
        <w:rPr>
          <w:rFonts w:cs="Calibri"/>
          <w:i w:val="false"/>
          <w:iCs w:val="false"/>
          <w:color w:val="222222"/>
          <w:sz w:val="24"/>
          <w:szCs w:val="24"/>
          <w:shd w:fill="FFFFFF" w:val="clear"/>
        </w:rPr>
        <w:t>Iako masturbacija može biti dio normalnog dječjeg razvoja, potiče masturbaciju u ranoj dobi, što djecu može učiniti ranjivijima na korištenje pornografije, seksualne ovisnosti ili seksualno iskorištavanje. Može uputiti djecu kako masturbirati. Također može poticati djecu na međusobnu masturbaciju.</w:t>
      </w:r>
    </w:p>
    <w:p>
      <w:pPr>
        <w:pStyle w:val="Normal"/>
        <w:bidi w:val="0"/>
        <w:spacing w:lineRule="auto" w:line="240"/>
        <w:jc w:val="center"/>
        <w:rPr/>
      </w:pPr>
      <w:r>
        <w:rPr>
          <w:b/>
          <w:smallCaps/>
          <w:sz w:val="28"/>
          <w:szCs w:val="28"/>
        </w:rPr>
        <w:t>7. Promiče Upotrebu Kondoma na Neprikladne Načine</w:t>
      </w:r>
    </w:p>
    <w:p>
      <w:pPr>
        <w:pStyle w:val="Normal"/>
        <w:widowControl/>
        <w:bidi w:val="0"/>
        <w:spacing w:lineRule="auto" w:line="252" w:before="0" w:after="160"/>
        <w:rPr/>
      </w:pPr>
      <w:r>
        <w:rPr>
          <w:rFonts w:cs="Calibri"/>
          <w:i w:val="false"/>
          <w:iCs w:val="false"/>
          <w:color w:val="000000"/>
          <w:sz w:val="24"/>
          <w:szCs w:val="24"/>
        </w:rPr>
        <w:t>Može neprimjereno erotizirati upotrebu kondoma (npr. naglašavati seksualno zadovoljstvo ili "zabavu" s kondomima) ili koristiti seksualno eksplicitne metode (npr. modele penisa i vagine, zavodljive igre uloga itd.) za promicanje upotrebe kondoma kod djece. Može pružati medicinski netočne informacije o učinkovitosti kondoma te izostavljati ili umanjivati ​​stope neuspjeha. Može implicirati da će kondomi pružiti potpunu zaštitu od trudnoće ili spolno prenosivih infekcija.</w:t>
      </w:r>
    </w:p>
    <w:p>
      <w:pPr>
        <w:pStyle w:val="Normal"/>
        <w:bidi w:val="0"/>
        <w:spacing w:lineRule="auto" w:line="240"/>
        <w:jc w:val="center"/>
        <w:rPr/>
      </w:pPr>
      <w:r>
        <w:rPr>
          <w:b/>
          <w:smallCaps/>
          <w:sz w:val="28"/>
          <w:szCs w:val="28"/>
        </w:rPr>
        <w:t>8. Potiče Preuranjenu Seksualnu Autonomiju</w:t>
      </w:r>
    </w:p>
    <w:p>
      <w:pPr>
        <w:pStyle w:val="Normal"/>
        <w:bidi w:val="0"/>
        <w:spacing w:before="0" w:after="160"/>
        <w:jc w:val="start"/>
        <w:rPr/>
      </w:pPr>
      <w:r>
        <w:rPr>
          <w:rFonts w:cs="Calibri"/>
          <w:i w:val="false"/>
          <w:iCs w:val="false"/>
          <w:color w:val="222222"/>
          <w:sz w:val="24"/>
          <w:szCs w:val="24"/>
          <w:shd w:fill="FFFFFF" w:val="clear"/>
        </w:rPr>
        <w:t>Uči djecu da mogu odabrati seks kada osjećaju da su spremna ili kada pronađu pouzdanog partnera. Ne pruža podatke o dobro dokumentiranim negativnim posljedicama ranog početka spolnog odnosa. Ne potiče seksualno aktivnu djecu da se vrate apstinenciji.</w:t>
      </w:r>
    </w:p>
    <w:p>
      <w:pPr>
        <w:pStyle w:val="Normal"/>
        <w:bidi w:val="0"/>
        <w:spacing w:lineRule="auto" w:line="240"/>
        <w:jc w:val="center"/>
        <w:rPr/>
      </w:pPr>
      <w:r>
        <w:rPr>
          <w:b/>
          <w:smallCaps/>
          <w:sz w:val="28"/>
          <w:szCs w:val="28"/>
        </w:rPr>
        <w:t>9</w:t>
      </w:r>
      <w:r>
        <w:rPr>
          <w:b/>
          <w:bCs/>
          <w:smallCaps/>
          <w:sz w:val="28"/>
          <w:szCs w:val="28"/>
        </w:rPr>
        <w:t xml:space="preserve">. </w:t>
      </w:r>
      <w:r>
        <w:rPr>
          <w:b/>
          <w:smallCaps/>
          <w:sz w:val="28"/>
          <w:szCs w:val="28"/>
        </w:rPr>
        <w:t>Ne Uspijeva Uspostaviti Apstinenciju kao Očekivani Standard</w:t>
      </w:r>
    </w:p>
    <w:p>
      <w:pPr>
        <w:pStyle w:val="Normal"/>
        <w:bidi w:val="0"/>
        <w:jc w:val="start"/>
        <w:rPr/>
      </w:pPr>
      <w:r>
        <w:rPr>
          <w:rFonts w:cs="Calibri"/>
          <w:i w:val="false"/>
          <w:iCs w:val="false"/>
          <w:color w:val="222222"/>
          <w:sz w:val="24"/>
          <w:szCs w:val="24"/>
          <w:shd w:fill="FFFFFF" w:val="clear"/>
        </w:rPr>
        <w:t>Ne uspijeva uspostaviti apstinenciju (ili povratak apstinenciji) kao očekivani standard za svu djecu školske dobi. Apstinenciju može spomenuti samo usput.</w:t>
      </w:r>
    </w:p>
    <w:p>
      <w:pPr>
        <w:pStyle w:val="Normal"/>
        <w:bidi w:val="0"/>
        <w:spacing w:before="0" w:after="160"/>
        <w:jc w:val="start"/>
        <w:rPr>
          <w:rFonts w:cs="Calibri"/>
          <w:i w:val="false"/>
          <w:i w:val="false"/>
          <w:iCs w:val="false"/>
          <w:color w:val="222222"/>
          <w:sz w:val="24"/>
          <w:szCs w:val="24"/>
          <w:shd w:fill="FFFFFF" w:val="clear"/>
        </w:rPr>
      </w:pPr>
      <w:r>
        <w:rPr>
          <w:rFonts w:cs="Calibri"/>
          <w:i w:val="false"/>
          <w:iCs w:val="false"/>
          <w:color w:val="222222"/>
          <w:sz w:val="24"/>
          <w:szCs w:val="24"/>
          <w:shd w:fill="FFFFFF" w:val="clear"/>
        </w:rPr>
        <w:t>Može naučiti djecu da je svaka spolna aktivnost - osim "nezaštićenog" vaginalnog i oralnog seksa - prihvatljiva, pa čak i zdrava. Može predstaviti apstinenciju i "zaštićeni" seks kao jednako dobre opcije za djecu.</w:t>
      </w:r>
    </w:p>
    <w:p>
      <w:pPr>
        <w:pStyle w:val="Normal"/>
        <w:bidi w:val="0"/>
        <w:spacing w:lineRule="auto" w:line="240"/>
        <w:jc w:val="center"/>
        <w:rPr/>
      </w:pPr>
      <w:r>
        <w:rPr>
          <w:b/>
          <w:smallCaps/>
          <w:sz w:val="28"/>
          <w:szCs w:val="28"/>
        </w:rPr>
        <w:t>10. Promiče Transrodnu Ideologiju</w:t>
      </w:r>
    </w:p>
    <w:p>
      <w:pPr>
        <w:pStyle w:val="Normal"/>
        <w:bidi w:val="0"/>
        <w:spacing w:before="0" w:after="160"/>
        <w:jc w:val="start"/>
        <w:rPr/>
      </w:pPr>
      <w:r>
        <w:rPr>
          <w:rFonts w:cs="Calibri"/>
          <w:i w:val="false"/>
          <w:iCs w:val="false"/>
          <w:color w:val="222222"/>
          <w:sz w:val="24"/>
          <w:szCs w:val="24"/>
          <w:shd w:fill="FFFFFF" w:val="clear"/>
        </w:rPr>
        <w:t>Promiče afirmaciju i/ili istraživanje različitih rodnih identiteta. Može učiti djecu da mogu promijeniti spol ili se identificirati kao višestruki rodovi ili može predstavljati druge neznanstvene i medicinski netočne teorije. Ne uči da većina djece zbunjene oko spola rješava tu zbunjenost do odrasle dobi te da je ekstremna zbunjenost oko spola poremećaj mentalnog zdravlja (rodna disforija) kojem se može pomoći intervencijom mentalnog zdravlja.</w:t>
      </w:r>
      <w:r>
        <w:rPr>
          <w:rFonts w:cs="Calibri"/>
          <w:i w:val="false"/>
          <w:iCs w:val="false"/>
          <w:sz w:val="24"/>
          <w:szCs w:val="24"/>
        </w:rPr>
        <w:t xml:space="preserve"> </w:t>
      </w:r>
    </w:p>
    <w:p>
      <w:pPr>
        <w:pStyle w:val="Normal"/>
        <w:bidi w:val="0"/>
        <w:spacing w:lineRule="auto" w:line="240"/>
        <w:jc w:val="center"/>
        <w:rPr/>
      </w:pPr>
      <w:r>
        <w:rPr>
          <w:rFonts w:cs="Calibri"/>
          <w:b/>
          <w:smallCaps/>
          <w:sz w:val="28"/>
          <w:szCs w:val="28"/>
        </w:rPr>
        <w:t>11. Promiče Kontracepciju/Pobačaj kod Djece</w:t>
      </w:r>
    </w:p>
    <w:p>
      <w:pPr>
        <w:pStyle w:val="Normal"/>
        <w:bidi w:val="0"/>
        <w:jc w:val="start"/>
        <w:rPr/>
      </w:pPr>
      <w:r>
        <w:rPr>
          <w:rFonts w:cs="Calibri"/>
          <w:i w:val="false"/>
          <w:iCs w:val="false"/>
          <w:sz w:val="24"/>
          <w:szCs w:val="24"/>
        </w:rPr>
        <w:t>Predstavlja pobačaj kao sigurnu ili pozitivnu opciju, a izostavlja podatke o mnogim potencijalnim negativnim posljedicama po fizičko i mentalno zdravlje. Može podučiti djecu da imaju pravo na pobačaj i uputiti ih pružateljima usluga pobačaja.</w:t>
      </w:r>
    </w:p>
    <w:p>
      <w:pPr>
        <w:pStyle w:val="Normal"/>
        <w:bidi w:val="0"/>
        <w:spacing w:before="0" w:after="160"/>
        <w:jc w:val="start"/>
        <w:rPr>
          <w:rFonts w:cs="Calibri"/>
          <w:i w:val="false"/>
          <w:i w:val="false"/>
          <w:iCs w:val="false"/>
          <w:sz w:val="24"/>
          <w:szCs w:val="24"/>
        </w:rPr>
      </w:pPr>
      <w:r>
        <w:rPr>
          <w:rFonts w:cs="Calibri"/>
          <w:i w:val="false"/>
          <w:iCs w:val="false"/>
          <w:sz w:val="24"/>
          <w:szCs w:val="24"/>
        </w:rPr>
        <w:t>Može poticati upotrebu kontracepcije, a ne navodi stope neuspjeha ili nuspojave.</w:t>
      </w:r>
    </w:p>
    <w:p>
      <w:pPr>
        <w:pStyle w:val="Normal"/>
        <w:bidi w:val="0"/>
        <w:spacing w:lineRule="auto" w:line="240"/>
        <w:jc w:val="center"/>
        <w:rPr/>
      </w:pPr>
      <w:r>
        <w:rPr>
          <w:b/>
          <w:smallCaps/>
          <w:sz w:val="28"/>
          <w:szCs w:val="28"/>
        </w:rPr>
        <w:t>12. Promiče Vršnjačko Seksualno Obrazovanje ili Zagovaranje Seksualnih Prava</w:t>
      </w:r>
    </w:p>
    <w:p>
      <w:pPr>
        <w:pStyle w:val="Normal"/>
        <w:bidi w:val="0"/>
        <w:spacing w:before="0" w:after="160"/>
        <w:jc w:val="start"/>
        <w:rPr/>
      </w:pPr>
      <w:r>
        <w:rPr>
          <w:rFonts w:cs="Calibri"/>
          <w:i w:val="false"/>
          <w:iCs w:val="false"/>
          <w:sz w:val="24"/>
          <w:szCs w:val="24"/>
        </w:rPr>
        <w:t>Može obučiti djecu da podučavaju drugu djecu o seksu ili seksualnom užitku, putem vršnjačkih inicijativa. Može regrutirati djecu kao glasnogovornike za zagovaranje vrlo kontroverznih seksualnih prava (uključujući pravo na samu seksualnu eksploraciju) ili za promicanje pobačaja.</w:t>
      </w:r>
    </w:p>
    <w:p>
      <w:pPr>
        <w:pStyle w:val="Normal"/>
        <w:bidi w:val="0"/>
        <w:spacing w:lineRule="auto" w:line="240"/>
        <w:jc w:val="center"/>
        <w:rPr/>
      </w:pPr>
      <w:r>
        <w:rPr>
          <w:b/>
          <w:smallCaps/>
          <w:sz w:val="28"/>
          <w:szCs w:val="28"/>
        </w:rPr>
        <w:t>13. Potkopava Tradicionalne Vrijednosti i Uvjerenja</w:t>
      </w:r>
    </w:p>
    <w:p>
      <w:pPr>
        <w:pStyle w:val="Normal"/>
        <w:bidi w:val="0"/>
        <w:spacing w:before="0" w:after="160"/>
        <w:jc w:val="start"/>
        <w:rPr/>
      </w:pPr>
      <w:r>
        <w:rPr>
          <w:rFonts w:cs="Calibri"/>
          <w:i w:val="false"/>
          <w:iCs w:val="false"/>
          <w:sz w:val="24"/>
          <w:szCs w:val="24"/>
        </w:rPr>
        <w:t>Može potaknuti djecu da preispituju uvjerenja svojih roditelja ili njihove kulturne ili vjerske vrijednosti u vezi sa spolom, seksualnom orijentacijom ili rodnim identitetom.</w:t>
      </w:r>
    </w:p>
    <w:p>
      <w:pPr>
        <w:pStyle w:val="Normal"/>
        <w:bidi w:val="0"/>
        <w:spacing w:lineRule="auto" w:line="240"/>
        <w:jc w:val="center"/>
        <w:rPr/>
      </w:pPr>
      <w:r>
        <w:rPr>
          <w:b/>
          <w:smallCaps/>
          <w:sz w:val="28"/>
          <w:szCs w:val="28"/>
        </w:rPr>
        <w:t>14. Podriva Roditelje ili Roditeljska Prava</w:t>
      </w:r>
    </w:p>
    <w:p>
      <w:pPr>
        <w:pStyle w:val="Normal"/>
        <w:bidi w:val="0"/>
        <w:spacing w:before="0" w:after="160"/>
        <w:jc w:val="start"/>
        <w:rPr/>
      </w:pPr>
      <w:r>
        <w:rPr>
          <w:rFonts w:cs="Calibri"/>
          <w:i w:val="false"/>
          <w:iCs w:val="false"/>
          <w:sz w:val="24"/>
          <w:szCs w:val="24"/>
        </w:rPr>
        <w:t xml:space="preserve">Može </w:t>
      </w:r>
      <w:hyperlink r:id="rId3">
        <w:r>
          <w:rPr>
            <w:rStyle w:val="Hyperlink"/>
            <w:rFonts w:cs="Calibri"/>
            <w:i w:val="false"/>
            <w:iCs w:val="false"/>
            <w:sz w:val="24"/>
            <w:szCs w:val="24"/>
          </w:rPr>
          <w:t>uputiti djecu da imaju pravo na povjerljivost i privatnost od roditelja. Može poučiti djecu o pristupu seksualnim robama ili uslugama, uključujući pobačaj, bez roditeljskog pristanka</w:t>
        </w:r>
      </w:hyperlink>
      <w:r>
        <w:rPr>
          <w:rFonts w:cs="Calibri"/>
          <w:i w:val="false"/>
          <w:iCs w:val="false"/>
          <w:sz w:val="24"/>
          <w:szCs w:val="24"/>
        </w:rPr>
        <w:t>. Može uputiti djecu da ne govore roditeljima što ih se uči o seksu u školi.</w:t>
      </w:r>
    </w:p>
    <w:p>
      <w:pPr>
        <w:pStyle w:val="Normal"/>
        <w:bidi w:val="0"/>
        <w:spacing w:lineRule="auto" w:line="240"/>
        <w:jc w:val="center"/>
        <w:rPr/>
      </w:pPr>
      <w:r>
        <w:rPr>
          <w:rFonts w:cs="Calibri"/>
          <w:b/>
          <w:i w:val="false"/>
          <w:iCs w:val="false"/>
          <w:smallCaps/>
          <w:sz w:val="28"/>
          <w:szCs w:val="28"/>
        </w:rPr>
        <w:t>15. Upućuje Djecu na Štetne Resurse</w:t>
      </w:r>
    </w:p>
    <w:p>
      <w:pPr>
        <w:pStyle w:val="Normal"/>
        <w:bidi w:val="0"/>
        <w:jc w:val="start"/>
        <w:rPr/>
      </w:pPr>
      <w:r>
        <w:rPr>
          <w:rFonts w:cs="Calibri"/>
          <w:i w:val="false"/>
          <w:iCs w:val="false"/>
          <w:sz w:val="24"/>
          <w:szCs w:val="24"/>
        </w:rPr>
        <w:t>Upućuje djecu na štetne web stranice, materijale ili vanjske subjekte. Također može posebno upućivati ​​djecu na Planned Parenthood ili njihove podružnice ili partnere zbog njihovih unosnih usluga ili robe (npr. seksualno savjetovanje, kondomi, kontracepcijska sredstva, spolni hormoni, testiranje i liječenje spolno prenosivih bolesti, pobačaji itd.).</w:t>
      </w:r>
    </w:p>
    <w:p>
      <w:pPr>
        <w:pStyle w:val="Normal"/>
        <w:bidi w:val="0"/>
        <w:jc w:val="start"/>
        <w:rPr/>
      </w:pPr>
      <w:r>
        <w:rPr>
          <w:rFonts w:cs="Calibri"/>
          <w:i w:val="false"/>
          <w:iCs w:val="false"/>
          <w:sz w:val="24"/>
          <w:szCs w:val="24"/>
        </w:rPr>
        <w:t xml:space="preserve">Napomena: Sukob interesa postoji kad god je subjekt koji profitira od seksualizacije djece uključen u stvaranje ili provedbu programa spolnog odgoja. (Za više informacija o tome kako Planned Parenthood seksualizira djecu radi profita pogledajte </w:t>
      </w:r>
      <w:hyperlink r:id="rId4">
        <w:r>
          <w:rPr>
            <w:rStyle w:val="Hyperlink"/>
            <w:rFonts w:cs="Calibri"/>
            <w:i w:val="false"/>
            <w:iCs w:val="false"/>
            <w:sz w:val="24"/>
            <w:szCs w:val="24"/>
          </w:rPr>
          <w:t>www.WaronChildren.org</w:t>
        </w:r>
      </w:hyperlink>
      <w:r>
        <w:rPr>
          <w:rFonts w:cs="Calibri"/>
          <w:i w:val="false"/>
          <w:iCs w:val="false"/>
          <w:sz w:val="24"/>
          <w:szCs w:val="24"/>
        </w:rPr>
        <w:t xml:space="preserve"> i </w:t>
      </w:r>
      <w:hyperlink r:id="rId5">
        <w:r>
          <w:rPr>
            <w:rStyle w:val="Hyperlink"/>
            <w:rFonts w:cs="Calibri"/>
            <w:i w:val="false"/>
            <w:iCs w:val="false"/>
            <w:sz w:val="24"/>
            <w:szCs w:val="24"/>
          </w:rPr>
          <w:t>www.InvestigateIPPF.org</w:t>
        </w:r>
      </w:hyperlink>
      <w:r>
        <w:rPr>
          <w:rFonts w:cs="Calibri"/>
          <w:i w:val="false"/>
          <w:iCs w:val="false"/>
          <w:sz w:val="24"/>
          <w:szCs w:val="24"/>
        </w:rPr>
        <w:t xml:space="preserv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hr-H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hr-HR" w:eastAsia="zh-CN" w:bidi="hi-IN"/>
    </w:rPr>
  </w:style>
  <w:style w:type="character" w:styleId="Hyperlink">
    <w:name w:val="Hyperlink"/>
    <w:rPr>
      <w:color w:val="0000FF"/>
      <w:u w:val="single"/>
    </w:rPr>
  </w:style>
  <w:style w:type="character" w:styleId="FollowedHyperlink">
    <w:name w:val="FollowedHyperlink"/>
    <w:rPr>
      <w:color w:val="954F72"/>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omprehensivesexualityeducation.org/how-comprehensive-sexuality-education-cse-harms-children/cse-promotes-sexual-counseling-information-or-services-to-minors-without-parental-consent/" TargetMode="External"/><Relationship Id="rId4" Type="http://schemas.openxmlformats.org/officeDocument/2006/relationships/hyperlink" Target="http://www.WaronChildren.org/" TargetMode="External"/><Relationship Id="rId5" Type="http://schemas.openxmlformats.org/officeDocument/2006/relationships/hyperlink" Target="http://www.InvestigateIPPF.org/"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LibreOffice/24.2.7.2$Linux_X86_64 LibreOffice_project/420$Build-2</Application>
  <AppVersion>15.0000</AppVersion>
  <Pages>2</Pages>
  <Words>758</Words>
  <Characters>4921</Characters>
  <CharactersWithSpaces>5650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2026-01-21T10:47:13Z</dcterms:created>
  <dc:creator/>
  <dc:description/>
  <dc:language>hr-HR</dc:language>
  <cp:lastModifiedBy/>
  <dcterms:modified xsi:type="dcterms:W3CDTF">2026-01-21T11:01:58Z</dcterms:modified>
  <cp:revision>11</cp:revision>
  <dc:subject/>
  <dc:title/>
</cp:coreProperties>
</file>